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691682" w:rsidRPr="00691682" w:rsidRDefault="00691682" w:rsidP="00691682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691682">
        <w:rPr>
          <w:b/>
          <w:bCs/>
          <w:color w:val="333333"/>
          <w:sz w:val="28"/>
          <w:szCs w:val="28"/>
        </w:rPr>
        <w:t xml:space="preserve">Возмещение ущерба, причиненного государству противоправными действиями </w:t>
      </w:r>
      <w:bookmarkStart w:id="0" w:name="_GoBack"/>
      <w:bookmarkEnd w:id="0"/>
    </w:p>
    <w:p w:rsidR="00691682" w:rsidRPr="00691682" w:rsidRDefault="00691682" w:rsidP="00691682">
      <w:pPr>
        <w:shd w:val="clear" w:color="auto" w:fill="FFFFFF"/>
        <w:contextualSpacing/>
        <w:rPr>
          <w:color w:val="000000"/>
          <w:sz w:val="28"/>
          <w:szCs w:val="28"/>
        </w:rPr>
      </w:pPr>
      <w:r w:rsidRPr="00691682">
        <w:rPr>
          <w:color w:val="000000"/>
          <w:sz w:val="28"/>
          <w:szCs w:val="28"/>
        </w:rPr>
        <w:t> </w:t>
      </w:r>
      <w:r w:rsidRPr="00691682">
        <w:rPr>
          <w:color w:val="FFFFFF"/>
          <w:sz w:val="28"/>
          <w:szCs w:val="28"/>
        </w:rPr>
        <w:t>Текст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В соответствии с ч. 1 ст. 1064 Гражданского кодекса Российской Федерации лицо, причинившее вред личности или имуществу гражданина, а также вред, причиненный имуществу юридического лица, обязано возместить его в полном объеме.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Денежные средства, затраченные Территориальным фондом обязательного медицинского страхования на лечение лиц, пострадавших от преступлений, являются ущербом, причиненным Российской Федерации.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Граждане, признанные судом виновными в совершении преступлений, предусмотренных статьями 111, 112, 115 Уголовного кодекса Российской Федерации, а также в совершении административных правонарушений, предусмотренных статьей 12.24 Кодекса Российской Федерации об административных правонарушениях, обязаны вернуть в бюджет Российской Федерации денежные средства, затраченные на лечение потерпевших от их противоправных действий.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При этом, вред возмещается при условии, что потерпевшему оказана медицинским учреждением помощь в рамках 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0248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2021-02-02T05:10:00Z</dcterms:created>
  <dcterms:modified xsi:type="dcterms:W3CDTF">2021-02-02T05:10:00Z</dcterms:modified>
</cp:coreProperties>
</file>